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83E7" w14:textId="21046D5E" w:rsidR="00306715" w:rsidRPr="00306715" w:rsidRDefault="00306715" w:rsidP="00306715">
      <w:pPr>
        <w:jc w:val="center"/>
        <w:rPr>
          <w:b/>
          <w:bCs/>
        </w:rPr>
      </w:pPr>
      <w:r w:rsidRPr="00306715">
        <w:rPr>
          <w:b/>
          <w:bCs/>
        </w:rPr>
        <w:t>Company Unique Coverage Codes</w:t>
      </w:r>
    </w:p>
    <w:p w14:paraId="60F8D8C1" w14:textId="73EE77A3" w:rsidR="00D55365" w:rsidRDefault="00D55365" w:rsidP="00D5536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Homeowners Unique Codes</w:t>
      </w:r>
    </w:p>
    <w:p w14:paraId="09C47FFF" w14:textId="0888BBEE" w:rsidR="00D55365" w:rsidRDefault="00D55365" w:rsidP="00D55365">
      <w:pPr>
        <w:spacing w:after="0" w:line="240" w:lineRule="auto"/>
      </w:pPr>
      <w:r>
        <w:t>ADINT</w:t>
      </w:r>
      <w:r>
        <w:tab/>
      </w:r>
      <w:r>
        <w:tab/>
        <w:t>Additional Interest</w:t>
      </w:r>
    </w:p>
    <w:p w14:paraId="526F14AE" w14:textId="77777777" w:rsidR="00D55365" w:rsidRDefault="00D55365" w:rsidP="00D55365">
      <w:pPr>
        <w:spacing w:after="0" w:line="240" w:lineRule="auto"/>
      </w:pPr>
      <w:r>
        <w:t>ADLCV</w:t>
      </w:r>
      <w:r>
        <w:tab/>
        <w:t>Additional Coverages</w:t>
      </w:r>
    </w:p>
    <w:p w14:paraId="0A793626" w14:textId="77777777" w:rsidR="00D55365" w:rsidRDefault="00D55365" w:rsidP="00D55365">
      <w:pPr>
        <w:spacing w:after="0" w:line="240" w:lineRule="auto"/>
      </w:pPr>
      <w:r>
        <w:t>AGRCR</w:t>
      </w:r>
      <w:r>
        <w:tab/>
        <w:t>Aggregate Limit Credit</w:t>
      </w:r>
    </w:p>
    <w:p w14:paraId="671F0899" w14:textId="77777777" w:rsidR="00D55365" w:rsidRDefault="00D55365" w:rsidP="00D55365">
      <w:pPr>
        <w:spacing w:after="0" w:line="240" w:lineRule="auto"/>
      </w:pPr>
      <w:r>
        <w:t>AGREM</w:t>
      </w:r>
      <w:r>
        <w:tab/>
        <w:t>General Policy Provisions Agreement</w:t>
      </w:r>
    </w:p>
    <w:p w14:paraId="2C99C9A6" w14:textId="77777777" w:rsidR="00D55365" w:rsidRDefault="00D55365" w:rsidP="00D55365">
      <w:pPr>
        <w:spacing w:after="0" w:line="240" w:lineRule="auto"/>
      </w:pPr>
      <w:r>
        <w:t>AMDLL</w:t>
      </w:r>
      <w:r>
        <w:tab/>
        <w:t>Policy Endorsement</w:t>
      </w:r>
    </w:p>
    <w:p w14:paraId="22D9A6A5" w14:textId="77777777" w:rsidR="00D55365" w:rsidRDefault="00D55365" w:rsidP="00D55365">
      <w:pPr>
        <w:spacing w:after="0" w:line="240" w:lineRule="auto"/>
      </w:pPr>
      <w:r>
        <w:t>AMDPC</w:t>
      </w:r>
      <w:r>
        <w:tab/>
        <w:t>Amendment of Policy Conditions</w:t>
      </w:r>
    </w:p>
    <w:p w14:paraId="12DACA68" w14:textId="77777777" w:rsidR="00D55365" w:rsidRDefault="00D55365" w:rsidP="00D55365">
      <w:pPr>
        <w:spacing w:after="0" w:line="240" w:lineRule="auto"/>
      </w:pPr>
      <w:r>
        <w:t>AMPCV</w:t>
      </w:r>
      <w:r>
        <w:tab/>
        <w:t>Amendatory Endorsement Principal Coverages</w:t>
      </w:r>
    </w:p>
    <w:p w14:paraId="6E93AFAD" w14:textId="77777777" w:rsidR="00D55365" w:rsidRDefault="00D55365" w:rsidP="00D55365">
      <w:pPr>
        <w:spacing w:after="0" w:line="240" w:lineRule="auto"/>
      </w:pPr>
      <w:r>
        <w:t>ANMLS</w:t>
      </w:r>
      <w:r>
        <w:tab/>
        <w:t>Animal Sublimit</w:t>
      </w:r>
    </w:p>
    <w:p w14:paraId="32C76D05" w14:textId="009E3C9B" w:rsidR="00D55365" w:rsidRDefault="00D55365" w:rsidP="00D55365">
      <w:pPr>
        <w:spacing w:after="0" w:line="240" w:lineRule="auto"/>
      </w:pPr>
      <w:r>
        <w:t>AUTII</w:t>
      </w:r>
      <w:r>
        <w:tab/>
      </w:r>
      <w:r>
        <w:tab/>
      </w:r>
      <w:r>
        <w:t>Automatic Increase in Insurance</w:t>
      </w:r>
    </w:p>
    <w:p w14:paraId="27AE2552" w14:textId="5187C10D" w:rsidR="00D55365" w:rsidRDefault="00D55365" w:rsidP="00D55365">
      <w:pPr>
        <w:spacing w:after="0" w:line="240" w:lineRule="auto"/>
      </w:pPr>
      <w:r>
        <w:t>AUXHT</w:t>
      </w:r>
      <w:r>
        <w:tab/>
      </w:r>
      <w:r>
        <w:tab/>
      </w:r>
      <w:r>
        <w:t>Auxiliary Heat Charge</w:t>
      </w:r>
    </w:p>
    <w:p w14:paraId="5EDA7FB9" w14:textId="77777777" w:rsidR="00D55365" w:rsidRDefault="00D55365" w:rsidP="00D55365">
      <w:pPr>
        <w:spacing w:after="0" w:line="240" w:lineRule="auto"/>
      </w:pPr>
      <w:r>
        <w:t>BDCLR</w:t>
      </w:r>
      <w:r>
        <w:tab/>
        <w:t>Business Definition Clarification</w:t>
      </w:r>
    </w:p>
    <w:p w14:paraId="7F62BA3D" w14:textId="77777777" w:rsidR="00D55365" w:rsidRDefault="00D55365" w:rsidP="00D55365">
      <w:pPr>
        <w:spacing w:after="0" w:line="240" w:lineRule="auto"/>
      </w:pPr>
      <w:r>
        <w:t>BDSCL</w:t>
      </w:r>
      <w:r>
        <w:tab/>
        <w:t>Policyholder Disclosure Notice - ML-117</w:t>
      </w:r>
    </w:p>
    <w:p w14:paraId="098FB4CB" w14:textId="77777777" w:rsidR="00D55365" w:rsidRDefault="00D55365" w:rsidP="00D55365">
      <w:pPr>
        <w:spacing w:after="0" w:line="240" w:lineRule="auto"/>
      </w:pPr>
      <w:r>
        <w:t>CAUSL</w:t>
      </w:r>
      <w:r>
        <w:tab/>
        <w:t>Causes of Loss Section</w:t>
      </w:r>
    </w:p>
    <w:p w14:paraId="69178252" w14:textId="6005F925" w:rsidR="00D55365" w:rsidRDefault="00D55365" w:rsidP="00D55365">
      <w:pPr>
        <w:spacing w:after="0" w:line="240" w:lineRule="auto"/>
      </w:pPr>
      <w:r>
        <w:t>CINTA</w:t>
      </w:r>
      <w:r>
        <w:tab/>
      </w:r>
      <w:r>
        <w:tab/>
      </w:r>
      <w:r>
        <w:t>Intentional Acts Clarification</w:t>
      </w:r>
    </w:p>
    <w:p w14:paraId="45EF74EE" w14:textId="77777777" w:rsidR="00D55365" w:rsidRDefault="00D55365" w:rsidP="00D55365">
      <w:pPr>
        <w:spacing w:after="0" w:line="240" w:lineRule="auto"/>
      </w:pPr>
      <w:r>
        <w:t>CMVLE</w:t>
      </w:r>
      <w:r>
        <w:tab/>
        <w:t>Comparable Value HO Endorsement</w:t>
      </w:r>
    </w:p>
    <w:p w14:paraId="0E65B2F1" w14:textId="77777777" w:rsidR="00D55365" w:rsidRDefault="00D55365" w:rsidP="00D55365">
      <w:pPr>
        <w:spacing w:after="0" w:line="240" w:lineRule="auto"/>
      </w:pPr>
      <w:r>
        <w:t>CMVMH</w:t>
      </w:r>
      <w:r>
        <w:tab/>
        <w:t>Consent to Move Mobile Home</w:t>
      </w:r>
    </w:p>
    <w:p w14:paraId="6E8E9147" w14:textId="77777777" w:rsidR="00D55365" w:rsidRDefault="00D55365" w:rsidP="00D55365">
      <w:pPr>
        <w:spacing w:after="0" w:line="240" w:lineRule="auto"/>
      </w:pPr>
      <w:r>
        <w:t>CNRWP</w:t>
      </w:r>
      <w:r>
        <w:tab/>
        <w:t>Cancellation and Renewal Provision</w:t>
      </w:r>
    </w:p>
    <w:p w14:paraId="6E6846CD" w14:textId="77777777" w:rsidR="00D55365" w:rsidRDefault="00D55365" w:rsidP="00D55365">
      <w:pPr>
        <w:spacing w:after="0" w:line="240" w:lineRule="auto"/>
      </w:pPr>
      <w:r>
        <w:t>COOIN</w:t>
      </w:r>
      <w:r>
        <w:tab/>
        <w:t>Co-operative Insurer Notice</w:t>
      </w:r>
    </w:p>
    <w:p w14:paraId="317129F9" w14:textId="6033FB8C" w:rsidR="00D55365" w:rsidRDefault="00D55365" w:rsidP="00D55365">
      <w:pPr>
        <w:spacing w:after="0" w:line="240" w:lineRule="auto"/>
      </w:pPr>
      <w:r>
        <w:t>DBPSL</w:t>
      </w:r>
      <w:r>
        <w:tab/>
      </w:r>
      <w:r>
        <w:tab/>
      </w:r>
      <w:r>
        <w:t>Diving Board or Pool Slide Liability</w:t>
      </w:r>
    </w:p>
    <w:p w14:paraId="5D6406E7" w14:textId="45461468" w:rsidR="00D55365" w:rsidRDefault="00D55365" w:rsidP="00D55365">
      <w:pPr>
        <w:spacing w:after="0" w:line="240" w:lineRule="auto"/>
      </w:pPr>
      <w:r>
        <w:t>ESIIC</w:t>
      </w:r>
      <w:r>
        <w:tab/>
      </w:r>
      <w:r>
        <w:tab/>
      </w:r>
      <w:r>
        <w:t>Elimination of Section II Credit</w:t>
      </w:r>
    </w:p>
    <w:p w14:paraId="6169B6C4" w14:textId="77777777" w:rsidR="00D55365" w:rsidRDefault="00D55365" w:rsidP="00D55365">
      <w:pPr>
        <w:spacing w:after="0" w:line="240" w:lineRule="auto"/>
      </w:pPr>
      <w:r>
        <w:t>GOLFR</w:t>
      </w:r>
      <w:r>
        <w:tab/>
        <w:t>ML-61 Golfers</w:t>
      </w:r>
    </w:p>
    <w:p w14:paraId="2F9557CB" w14:textId="2C89BEDC" w:rsidR="00D55365" w:rsidRDefault="00D55365" w:rsidP="00D55365">
      <w:pPr>
        <w:spacing w:after="0" w:line="240" w:lineRule="auto"/>
      </w:pPr>
      <w:r>
        <w:t>HLANT</w:t>
      </w:r>
      <w:r>
        <w:tab/>
      </w:r>
      <w:r>
        <w:tab/>
      </w:r>
      <w:r>
        <w:t>Outside Antenna</w:t>
      </w:r>
    </w:p>
    <w:p w14:paraId="0F55D161" w14:textId="3B6BD909" w:rsidR="00D55365" w:rsidRDefault="00D55365" w:rsidP="00D55365">
      <w:pPr>
        <w:spacing w:after="0" w:line="240" w:lineRule="auto"/>
      </w:pPr>
      <w:r>
        <w:t>HLLCP</w:t>
      </w:r>
      <w:r>
        <w:tab/>
      </w:r>
      <w:r>
        <w:tab/>
      </w:r>
      <w:r>
        <w:t>Higher Limit of Liability on Certain Property</w:t>
      </w:r>
    </w:p>
    <w:p w14:paraId="6A4E266A" w14:textId="77777777" w:rsidR="00D55365" w:rsidRDefault="00D55365" w:rsidP="00D55365">
      <w:pPr>
        <w:spacing w:after="0" w:line="240" w:lineRule="auto"/>
      </w:pPr>
      <w:r>
        <w:t>HODEC</w:t>
      </w:r>
      <w:r>
        <w:tab/>
        <w:t>Homeowners Declaration</w:t>
      </w:r>
    </w:p>
    <w:p w14:paraId="5324A8D8" w14:textId="77777777" w:rsidR="00D55365" w:rsidRDefault="00D55365" w:rsidP="00D55365">
      <w:pPr>
        <w:spacing w:after="0" w:line="240" w:lineRule="auto"/>
      </w:pPr>
      <w:r>
        <w:t>HOETR</w:t>
      </w:r>
      <w:r>
        <w:tab/>
        <w:t>Homeowners Extra Cov</w:t>
      </w:r>
    </w:p>
    <w:p w14:paraId="406E355E" w14:textId="77777777" w:rsidR="00D55365" w:rsidRDefault="00D55365" w:rsidP="00D55365">
      <w:pPr>
        <w:spacing w:after="0" w:line="240" w:lineRule="auto"/>
      </w:pPr>
      <w:r>
        <w:t>HOINC</w:t>
      </w:r>
      <w:r>
        <w:tab/>
        <w:t>Homeowners Increased Cov. No Liability Increase</w:t>
      </w:r>
    </w:p>
    <w:p w14:paraId="5F023B40" w14:textId="77777777" w:rsidR="00D55365" w:rsidRDefault="00D55365" w:rsidP="00D55365">
      <w:pPr>
        <w:spacing w:after="0" w:line="240" w:lineRule="auto"/>
      </w:pPr>
      <w:r>
        <w:t>HOPLS</w:t>
      </w:r>
      <w:r>
        <w:tab/>
        <w:t>Homeowners Plus Cov</w:t>
      </w:r>
    </w:p>
    <w:p w14:paraId="73A7F9DD" w14:textId="77777777" w:rsidR="00D55365" w:rsidRDefault="00D55365" w:rsidP="00D55365">
      <w:pPr>
        <w:spacing w:after="0" w:line="240" w:lineRule="auto"/>
      </w:pPr>
      <w:r>
        <w:t>HURRD</w:t>
      </w:r>
      <w:r>
        <w:tab/>
        <w:t>Disclosure Notice Hurricane Deductible</w:t>
      </w:r>
    </w:p>
    <w:p w14:paraId="0E29778B" w14:textId="33720350" w:rsidR="00D55365" w:rsidRDefault="00D55365" w:rsidP="00D55365">
      <w:pPr>
        <w:spacing w:after="0" w:line="240" w:lineRule="auto"/>
      </w:pPr>
      <w:r>
        <w:t>INCOF</w:t>
      </w:r>
      <w:r>
        <w:tab/>
      </w:r>
      <w:r>
        <w:tab/>
        <w:t xml:space="preserve">Coverage C Increased While Away </w:t>
      </w:r>
      <w:proofErr w:type="gramStart"/>
      <w:r>
        <w:t>From</w:t>
      </w:r>
      <w:proofErr w:type="gramEnd"/>
      <w:r>
        <w:t xml:space="preserve"> Premises</w:t>
      </w:r>
    </w:p>
    <w:p w14:paraId="67DBC478" w14:textId="37F5F41F" w:rsidR="00D55365" w:rsidRDefault="00D55365" w:rsidP="00D55365">
      <w:pPr>
        <w:spacing w:after="0" w:line="240" w:lineRule="auto"/>
      </w:pPr>
      <w:r>
        <w:t>LIACS</w:t>
      </w:r>
      <w:r>
        <w:tab/>
      </w:r>
      <w:r>
        <w:tab/>
      </w:r>
      <w:r>
        <w:t>Liability Coverage Section</w:t>
      </w:r>
    </w:p>
    <w:p w14:paraId="750D198A" w14:textId="71A31DDA" w:rsidR="00D55365" w:rsidRDefault="00D55365" w:rsidP="00D55365">
      <w:pPr>
        <w:spacing w:after="0" w:line="240" w:lineRule="auto"/>
      </w:pPr>
      <w:r>
        <w:t>LPLUS</w:t>
      </w:r>
      <w:r>
        <w:tab/>
      </w:r>
      <w:r>
        <w:tab/>
      </w:r>
      <w:r>
        <w:t>Landlords Package Plus Form</w:t>
      </w:r>
    </w:p>
    <w:p w14:paraId="1299BD32" w14:textId="77777777" w:rsidR="00D55365" w:rsidRDefault="00D55365" w:rsidP="00D55365">
      <w:pPr>
        <w:spacing w:after="0" w:line="240" w:lineRule="auto"/>
      </w:pPr>
      <w:r>
        <w:t>MFMEQ</w:t>
      </w:r>
      <w:r>
        <w:tab/>
        <w:t>Mobile Farm Machinery and Equipment Form</w:t>
      </w:r>
    </w:p>
    <w:p w14:paraId="2EFBD698" w14:textId="77777777" w:rsidR="00D55365" w:rsidRDefault="00D55365" w:rsidP="00D55365">
      <w:pPr>
        <w:spacing w:after="0" w:line="240" w:lineRule="auto"/>
      </w:pPr>
      <w:r>
        <w:t>MOTRM</w:t>
      </w:r>
      <w:r>
        <w:tab/>
        <w:t>Modification of Terminology</w:t>
      </w:r>
    </w:p>
    <w:p w14:paraId="0E645E3D" w14:textId="77777777" w:rsidR="00D55365" w:rsidRDefault="00D55365" w:rsidP="00D55365">
      <w:pPr>
        <w:spacing w:after="0" w:line="240" w:lineRule="auto"/>
      </w:pPr>
      <w:r>
        <w:t>NYAMN</w:t>
      </w:r>
      <w:r>
        <w:tab/>
        <w:t>New York Amendatory Endorsement</w:t>
      </w:r>
    </w:p>
    <w:p w14:paraId="3B7FF58B" w14:textId="77777777" w:rsidR="00D55365" w:rsidRDefault="00D55365" w:rsidP="00D55365">
      <w:pPr>
        <w:spacing w:after="0" w:line="240" w:lineRule="auto"/>
      </w:pPr>
      <w:r>
        <w:t>NYPCN</w:t>
      </w:r>
      <w:r>
        <w:tab/>
        <w:t>NY Policy Conditions Amendatory End</w:t>
      </w:r>
    </w:p>
    <w:p w14:paraId="36FBB5DB" w14:textId="19BD372C" w:rsidR="00D55365" w:rsidRDefault="00D55365" w:rsidP="00D55365">
      <w:pPr>
        <w:spacing w:after="0" w:line="240" w:lineRule="auto"/>
      </w:pPr>
      <w:r>
        <w:t>NYSTU</w:t>
      </w:r>
      <w:r>
        <w:tab/>
        <w:t xml:space="preserve">NY </w:t>
      </w:r>
      <w:r>
        <w:tab/>
      </w:r>
      <w:r>
        <w:t>Statutory Endorsement</w:t>
      </w:r>
    </w:p>
    <w:p w14:paraId="717C5CA9" w14:textId="77777777" w:rsidR="00D55365" w:rsidRDefault="00D55365" w:rsidP="00D55365">
      <w:pPr>
        <w:spacing w:after="0" w:line="240" w:lineRule="auto"/>
      </w:pPr>
      <w:r>
        <w:t>OFNR#</w:t>
      </w:r>
      <w:r>
        <w:tab/>
        <w:t>Office, Professional, Private School or Studio Occupancy ML-43</w:t>
      </w:r>
    </w:p>
    <w:p w14:paraId="4AFBB1E2" w14:textId="0AFA59F2" w:rsidR="00D55365" w:rsidRDefault="00D55365" w:rsidP="00D55365">
      <w:pPr>
        <w:spacing w:after="0" w:line="240" w:lineRule="auto"/>
      </w:pPr>
      <w:r>
        <w:t>OFRP#</w:t>
      </w:r>
      <w:r>
        <w:tab/>
      </w:r>
      <w:r>
        <w:tab/>
      </w:r>
      <w:r>
        <w:t>Office, Professional, Private School or Studio Occupancy ML-42</w:t>
      </w:r>
    </w:p>
    <w:p w14:paraId="34E419EC" w14:textId="41594CEA" w:rsidR="00D55365" w:rsidRDefault="00D55365" w:rsidP="00D55365">
      <w:pPr>
        <w:spacing w:after="0" w:line="240" w:lineRule="auto"/>
      </w:pPr>
      <w:r>
        <w:t>OLTLI</w:t>
      </w:r>
      <w:r>
        <w:tab/>
      </w:r>
      <w:r>
        <w:tab/>
      </w:r>
      <w:r>
        <w:t>OLT Liability</w:t>
      </w:r>
    </w:p>
    <w:p w14:paraId="2DC33F03" w14:textId="77777777" w:rsidR="00D55365" w:rsidRDefault="00D55365" w:rsidP="00D55365">
      <w:pPr>
        <w:spacing w:after="0" w:line="240" w:lineRule="auto"/>
      </w:pPr>
      <w:r>
        <w:t>PCCVG</w:t>
      </w:r>
      <w:r>
        <w:tab/>
        <w:t>Computer Coverage</w:t>
      </w:r>
    </w:p>
    <w:p w14:paraId="36552C7C" w14:textId="19E88919" w:rsidR="00D55365" w:rsidRDefault="00D55365" w:rsidP="00D55365">
      <w:pPr>
        <w:spacing w:after="0" w:line="240" w:lineRule="auto"/>
      </w:pPr>
      <w:r>
        <w:t>RDFIN</w:t>
      </w:r>
      <w:r>
        <w:tab/>
      </w:r>
      <w:r>
        <w:tab/>
      </w:r>
      <w:r>
        <w:t>Redefinition of Insured</w:t>
      </w:r>
    </w:p>
    <w:p w14:paraId="7C985514" w14:textId="08E040A1" w:rsidR="00D55365" w:rsidRDefault="00D55365" w:rsidP="00D55365">
      <w:pPr>
        <w:spacing w:after="0" w:line="240" w:lineRule="auto"/>
      </w:pPr>
      <w:r>
        <w:lastRenderedPageBreak/>
        <w:t>RLICR</w:t>
      </w:r>
      <w:r>
        <w:tab/>
      </w:r>
      <w:r>
        <w:tab/>
      </w:r>
      <w:r>
        <w:t xml:space="preserve">Credit </w:t>
      </w:r>
      <w:proofErr w:type="gramStart"/>
      <w:r>
        <w:t>To</w:t>
      </w:r>
      <w:proofErr w:type="gramEnd"/>
      <w:r>
        <w:t xml:space="preserve"> Remove Liability</w:t>
      </w:r>
    </w:p>
    <w:p w14:paraId="7B04DDC4" w14:textId="77777777" w:rsidR="00D55365" w:rsidRDefault="00D55365" w:rsidP="00D55365">
      <w:pPr>
        <w:spacing w:after="0" w:line="240" w:lineRule="auto"/>
      </w:pPr>
      <w:r>
        <w:t>RPDED</w:t>
      </w:r>
      <w:r>
        <w:tab/>
        <w:t>Policy Deductible</w:t>
      </w:r>
    </w:p>
    <w:p w14:paraId="04BCB200" w14:textId="1E1C0AFA" w:rsidR="00D55365" w:rsidRDefault="00D55365" w:rsidP="00D55365">
      <w:pPr>
        <w:spacing w:after="0" w:line="240" w:lineRule="auto"/>
      </w:pPr>
      <w:r>
        <w:t>RPS</w:t>
      </w:r>
      <w:r>
        <w:tab/>
      </w:r>
      <w:r>
        <w:tab/>
      </w:r>
      <w:r>
        <w:t>Related Private Structures</w:t>
      </w:r>
    </w:p>
    <w:p w14:paraId="56055EF9" w14:textId="34DDCBEC" w:rsidR="00D55365" w:rsidRDefault="00D55365" w:rsidP="00D55365">
      <w:pPr>
        <w:spacing w:after="0" w:line="240" w:lineRule="auto"/>
      </w:pPr>
      <w:r>
        <w:t>RPSCF</w:t>
      </w:r>
      <w:r>
        <w:tab/>
      </w:r>
      <w:r>
        <w:tab/>
      </w:r>
      <w:r>
        <w:t>Related Private Structures and Condominium Fixtures</w:t>
      </w:r>
    </w:p>
    <w:p w14:paraId="27196068" w14:textId="3BE4F1EE" w:rsidR="00D55365" w:rsidRDefault="00D55365" w:rsidP="00D55365">
      <w:pPr>
        <w:spacing w:after="0" w:line="240" w:lineRule="auto"/>
      </w:pPr>
      <w:r>
        <w:t>SILVR</w:t>
      </w:r>
      <w:r>
        <w:tab/>
      </w:r>
      <w:r>
        <w:tab/>
      </w:r>
      <w:r>
        <w:t>ML-61 Silverware</w:t>
      </w:r>
    </w:p>
    <w:p w14:paraId="1394497B" w14:textId="77777777" w:rsidR="00D55365" w:rsidRDefault="00D55365" w:rsidP="00D55365">
      <w:pPr>
        <w:spacing w:after="0" w:line="240" w:lineRule="auto"/>
      </w:pPr>
      <w:r>
        <w:t>SDRFM</w:t>
      </w:r>
      <w:r>
        <w:tab/>
        <w:t>Siding and Roofing Matching</w:t>
      </w:r>
    </w:p>
    <w:p w14:paraId="3AD3A30A" w14:textId="5921FF17" w:rsidR="00D55365" w:rsidRDefault="00D55365" w:rsidP="00D55365">
      <w:pPr>
        <w:spacing w:after="0" w:line="240" w:lineRule="auto"/>
      </w:pPr>
      <w:r>
        <w:t>SDSTP</w:t>
      </w:r>
      <w:r>
        <w:tab/>
      </w:r>
      <w:r>
        <w:tab/>
      </w:r>
      <w:r>
        <w:t>Specific Dwelling Schedule Total Premium</w:t>
      </w:r>
    </w:p>
    <w:p w14:paraId="642288AD" w14:textId="08440813" w:rsidR="00D55365" w:rsidRDefault="00D55365" w:rsidP="00D55365">
      <w:pPr>
        <w:spacing w:after="0" w:line="240" w:lineRule="auto"/>
      </w:pPr>
      <w:r>
        <w:t>SIARS</w:t>
      </w:r>
      <w:r>
        <w:tab/>
      </w:r>
      <w:r>
        <w:tab/>
      </w:r>
      <w:r>
        <w:t>Supplemental Insurance Application for Arson Control</w:t>
      </w:r>
    </w:p>
    <w:p w14:paraId="1BE25115" w14:textId="77777777" w:rsidR="00D55365" w:rsidRDefault="00D55365" w:rsidP="00D55365">
      <w:pPr>
        <w:spacing w:after="0" w:line="240" w:lineRule="auto"/>
      </w:pPr>
      <w:r>
        <w:t>SMBSC</w:t>
      </w:r>
      <w:r>
        <w:tab/>
        <w:t>Basic Premium</w:t>
      </w:r>
    </w:p>
    <w:p w14:paraId="544D4C3F" w14:textId="77777777" w:rsidR="00D55365" w:rsidRDefault="00D55365" w:rsidP="00D55365">
      <w:pPr>
        <w:spacing w:after="0" w:line="240" w:lineRule="auto"/>
      </w:pPr>
      <w:r>
        <w:t>SMCAC</w:t>
      </w:r>
      <w:r>
        <w:tab/>
        <w:t>Coverage C Adjustment Credit</w:t>
      </w:r>
    </w:p>
    <w:p w14:paraId="347300E0" w14:textId="77777777" w:rsidR="00D55365" w:rsidRDefault="00D55365" w:rsidP="00D55365">
      <w:pPr>
        <w:spacing w:after="0" w:line="240" w:lineRule="auto"/>
      </w:pPr>
      <w:r>
        <w:t>SMCBP</w:t>
      </w:r>
      <w:r>
        <w:tab/>
        <w:t>Coverage C Base Premium</w:t>
      </w:r>
    </w:p>
    <w:p w14:paraId="3AF5721C" w14:textId="578DFAE5" w:rsidR="00D55365" w:rsidRDefault="00D55365" w:rsidP="00D55365">
      <w:pPr>
        <w:spacing w:after="0" w:line="240" w:lineRule="auto"/>
      </w:pPr>
      <w:r>
        <w:t>SPRIV</w:t>
      </w:r>
      <w:r>
        <w:tab/>
      </w:r>
      <w:r>
        <w:tab/>
      </w:r>
      <w:r>
        <w:t>Privacy Notice</w:t>
      </w:r>
    </w:p>
    <w:p w14:paraId="752762C0" w14:textId="7CDF0305" w:rsidR="00D55365" w:rsidRDefault="00D55365" w:rsidP="00D55365">
      <w:pPr>
        <w:spacing w:after="0" w:line="240" w:lineRule="auto"/>
      </w:pPr>
      <w:r>
        <w:t>SRO##</w:t>
      </w:r>
      <w:r>
        <w:tab/>
      </w:r>
      <w:r>
        <w:tab/>
      </w:r>
      <w:r>
        <w:t>Related Private Structures Rented to Others</w:t>
      </w:r>
    </w:p>
    <w:p w14:paraId="03046401" w14:textId="77777777" w:rsidR="00D55365" w:rsidRDefault="00D55365" w:rsidP="00D55365">
      <w:pPr>
        <w:spacing w:after="0" w:line="240" w:lineRule="auto"/>
      </w:pPr>
      <w:r>
        <w:t>TDPNP</w:t>
      </w:r>
      <w:r>
        <w:tab/>
        <w:t>Third Party Notification Program</w:t>
      </w:r>
    </w:p>
    <w:p w14:paraId="5A7D1E67" w14:textId="1283E33C" w:rsidR="00D55365" w:rsidRDefault="00D55365" w:rsidP="00D55365">
      <w:pPr>
        <w:spacing w:after="0" w:line="240" w:lineRule="auto"/>
      </w:pPr>
      <w:r>
        <w:t>TRMPX</w:t>
      </w:r>
      <w:r>
        <w:tab/>
      </w:r>
      <w:r>
        <w:tab/>
      </w:r>
      <w:r>
        <w:t>Trampoline Exclusion</w:t>
      </w:r>
    </w:p>
    <w:p w14:paraId="0D043D6D" w14:textId="68B1378E" w:rsidR="00D55365" w:rsidRDefault="00D55365" w:rsidP="00D55365">
      <w:pPr>
        <w:spacing w:after="0" w:line="240" w:lineRule="auto"/>
      </w:pPr>
      <w:r>
        <w:t>TRPCL</w:t>
      </w:r>
      <w:r>
        <w:tab/>
      </w:r>
      <w:r>
        <w:tab/>
      </w:r>
      <w:r>
        <w:t>Trip Collision</w:t>
      </w:r>
    </w:p>
    <w:p w14:paraId="76B52735" w14:textId="71AD3CB7" w:rsidR="00D55365" w:rsidRDefault="00D55365" w:rsidP="00D55365">
      <w:pPr>
        <w:spacing w:after="0" w:line="240" w:lineRule="auto"/>
      </w:pPr>
      <w:r>
        <w:t>UTLIN</w:t>
      </w:r>
      <w:r>
        <w:tab/>
      </w:r>
      <w:r>
        <w:tab/>
      </w:r>
      <w:r>
        <w:t>Underground Utility Line Endorsement</w:t>
      </w:r>
    </w:p>
    <w:p w14:paraId="1EAE0754" w14:textId="1DFF3B88" w:rsidR="00D55365" w:rsidRDefault="00D55365" w:rsidP="00D55365">
      <w:pPr>
        <w:spacing w:after="0" w:line="240" w:lineRule="auto"/>
      </w:pPr>
      <w:r>
        <w:t>VSICM</w:t>
      </w:r>
      <w:r>
        <w:tab/>
      </w:r>
      <w:r>
        <w:tab/>
      </w:r>
      <w:r>
        <w:t>Vendors Single Interest Comprehensive Coverage</w:t>
      </w:r>
    </w:p>
    <w:p w14:paraId="155BEAB9" w14:textId="77777777" w:rsidR="00D55365" w:rsidRDefault="00D55365" w:rsidP="00D55365">
      <w:pPr>
        <w:spacing w:after="0" w:line="240" w:lineRule="auto"/>
      </w:pPr>
      <w:r>
        <w:t>XADPB</w:t>
      </w:r>
      <w:r>
        <w:tab/>
        <w:t xml:space="preserve">Exclusion - Asbestos, Dioxin or Polychlorinated </w:t>
      </w:r>
      <w:proofErr w:type="spellStart"/>
      <w:r>
        <w:t>Biphenols</w:t>
      </w:r>
      <w:proofErr w:type="spellEnd"/>
    </w:p>
    <w:p w14:paraId="02488072" w14:textId="77777777" w:rsidR="00D55365" w:rsidRDefault="00D55365" w:rsidP="00D55365">
      <w:pPr>
        <w:spacing w:after="0" w:line="240" w:lineRule="auto"/>
      </w:pPr>
      <w:r>
        <w:t>XANML</w:t>
      </w:r>
      <w:r>
        <w:tab/>
        <w:t>Animal Liability Exclusion</w:t>
      </w:r>
    </w:p>
    <w:p w14:paraId="32744299" w14:textId="639B9E68" w:rsidR="00D55365" w:rsidRDefault="00D55365" w:rsidP="00D55365">
      <w:pPr>
        <w:spacing w:after="0" w:line="240" w:lineRule="auto"/>
      </w:pPr>
      <w:r>
        <w:t>XCDIS</w:t>
      </w:r>
      <w:r>
        <w:tab/>
      </w:r>
      <w:r>
        <w:tab/>
      </w:r>
      <w:r>
        <w:t>Communicable Disease Exclusion Clarification</w:t>
      </w:r>
    </w:p>
    <w:p w14:paraId="312BAF5E" w14:textId="77777777" w:rsidR="00D55365" w:rsidRDefault="00D55365" w:rsidP="00D55365">
      <w:pPr>
        <w:spacing w:after="0" w:line="240" w:lineRule="auto"/>
      </w:pPr>
      <w:r>
        <w:t>XCERM</w:t>
      </w:r>
      <w:r>
        <w:tab/>
        <w:t>Earth Movement Exclusion Clarification</w:t>
      </w:r>
    </w:p>
    <w:p w14:paraId="73F37413" w14:textId="77777777" w:rsidR="00D55365" w:rsidRDefault="00D55365" w:rsidP="00D55365">
      <w:pPr>
        <w:spacing w:after="0" w:line="240" w:lineRule="auto"/>
      </w:pPr>
      <w:r>
        <w:t>XCLND</w:t>
      </w:r>
      <w:r>
        <w:tab/>
        <w:t>Calendar Date Exclusion</w:t>
      </w:r>
    </w:p>
    <w:p w14:paraId="5DB8EF51" w14:textId="77777777" w:rsidR="00D55365" w:rsidRDefault="00D55365" w:rsidP="00D55365">
      <w:pPr>
        <w:spacing w:after="0" w:line="240" w:lineRule="auto"/>
      </w:pPr>
      <w:r>
        <w:t>XEBNC</w:t>
      </w:r>
      <w:r>
        <w:tab/>
        <w:t>Exclusionary Endorsement 6 (Structures and Contents)</w:t>
      </w:r>
    </w:p>
    <w:p w14:paraId="1AC1DE5B" w14:textId="77777777" w:rsidR="00D55365" w:rsidRDefault="00D55365" w:rsidP="00D55365">
      <w:pPr>
        <w:spacing w:after="0" w:line="240" w:lineRule="auto"/>
      </w:pPr>
      <w:r>
        <w:t>XERQK</w:t>
      </w:r>
      <w:r>
        <w:tab/>
        <w:t>Earthquake Exclusion</w:t>
      </w:r>
    </w:p>
    <w:p w14:paraId="1A7BFA10" w14:textId="6418D8FD" w:rsidR="00D55365" w:rsidRDefault="00D55365" w:rsidP="00D55365">
      <w:pPr>
        <w:spacing w:after="0" w:line="240" w:lineRule="auto"/>
      </w:pPr>
      <w:r>
        <w:t>XINTA</w:t>
      </w:r>
      <w:r>
        <w:tab/>
      </w:r>
      <w:r>
        <w:tab/>
      </w:r>
      <w:r>
        <w:t>Intentional Acts Exclusion</w:t>
      </w:r>
    </w:p>
    <w:p w14:paraId="213509B6" w14:textId="2849609E" w:rsidR="00D55365" w:rsidRDefault="00D55365" w:rsidP="00D55365">
      <w:pPr>
        <w:spacing w:after="0" w:line="240" w:lineRule="auto"/>
      </w:pPr>
      <w:r>
        <w:t>XK9RI</w:t>
      </w:r>
      <w:r>
        <w:tab/>
      </w:r>
      <w:r>
        <w:tab/>
      </w:r>
      <w:r>
        <w:t>Exclusion of Canine Related Injuries or Damages</w:t>
      </w:r>
    </w:p>
    <w:p w14:paraId="0AC2530D" w14:textId="220C46CC" w:rsidR="00D55365" w:rsidRDefault="00D55365" w:rsidP="00D55365">
      <w:pPr>
        <w:spacing w:after="0" w:line="240" w:lineRule="auto"/>
      </w:pPr>
      <w:r>
        <w:t>XPUNI</w:t>
      </w:r>
      <w:r>
        <w:tab/>
      </w:r>
      <w:r>
        <w:tab/>
      </w:r>
      <w:r>
        <w:t>Punitive Damages Exclusion</w:t>
      </w:r>
    </w:p>
    <w:p w14:paraId="5BF8DB95" w14:textId="4C04B8D4" w:rsidR="00D55365" w:rsidRDefault="00D55365" w:rsidP="00D55365">
      <w:pPr>
        <w:spacing w:after="0" w:line="240" w:lineRule="auto"/>
      </w:pPr>
      <w:r>
        <w:t>XRPS</w:t>
      </w:r>
      <w:r>
        <w:tab/>
      </w:r>
      <w:r>
        <w:tab/>
      </w:r>
      <w:r>
        <w:t>Related Private Structures Exclusion Endorsements</w:t>
      </w:r>
    </w:p>
    <w:p w14:paraId="085C11C5" w14:textId="750CD65E" w:rsidR="00FC011F" w:rsidRDefault="00D55365" w:rsidP="00D55365">
      <w:pPr>
        <w:spacing w:after="0" w:line="240" w:lineRule="auto"/>
      </w:pPr>
      <w:r>
        <w:t>XWTRD</w:t>
      </w:r>
      <w:r>
        <w:tab/>
        <w:t>Water Damage Exclusion (New York City Only)</w:t>
      </w:r>
    </w:p>
    <w:sectPr w:rsidR="00FC0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15"/>
    <w:rsid w:val="00252CC8"/>
    <w:rsid w:val="00306715"/>
    <w:rsid w:val="008749F9"/>
    <w:rsid w:val="00D55365"/>
    <w:rsid w:val="00FC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8BB08"/>
  <w15:chartTrackingRefBased/>
  <w15:docId w15:val="{41C55190-20C0-4DB6-A92D-07E49923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2399</Characters>
  <Application>Microsoft Office Word</Application>
  <DocSecurity>0</DocSecurity>
  <Lines>149</Lines>
  <Paragraphs>145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Pyhtila</dc:creator>
  <cp:keywords/>
  <dc:description/>
  <cp:lastModifiedBy>Sara Pyhtila</cp:lastModifiedBy>
  <cp:revision>2</cp:revision>
  <dcterms:created xsi:type="dcterms:W3CDTF">2026-01-26T20:49:00Z</dcterms:created>
  <dcterms:modified xsi:type="dcterms:W3CDTF">2026-01-26T20:49:00Z</dcterms:modified>
</cp:coreProperties>
</file>